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CA04A" w14:textId="77777777" w:rsidR="000834CD" w:rsidRPr="000834CD" w:rsidRDefault="000834CD" w:rsidP="000834CD">
      <w:pPr>
        <w:widowControl w:val="0"/>
        <w:autoSpaceDE w:val="0"/>
        <w:autoSpaceDN w:val="0"/>
        <w:adjustRightInd w:val="0"/>
        <w:rPr>
          <w:rFonts w:ascii="Arial" w:hAnsi="Arial" w:cs="Arial"/>
          <w:color w:val="262626"/>
          <w:sz w:val="60"/>
          <w:szCs w:val="60"/>
          <w:lang w:val="es-ES"/>
        </w:rPr>
      </w:pPr>
      <w:r w:rsidRPr="000834CD">
        <w:rPr>
          <w:rFonts w:ascii="Arial" w:hAnsi="Arial" w:cs="Arial"/>
          <w:color w:val="262626"/>
          <w:sz w:val="60"/>
          <w:szCs w:val="60"/>
          <w:lang w:val="es-ES"/>
        </w:rPr>
        <w:t>Evaluación externa</w:t>
      </w:r>
    </w:p>
    <w:p w14:paraId="78CDE569" w14:textId="77777777" w:rsidR="000834CD" w:rsidRPr="000834CD" w:rsidRDefault="000834CD" w:rsidP="004C7551">
      <w:pPr>
        <w:widowControl w:val="0"/>
        <w:autoSpaceDE w:val="0"/>
        <w:autoSpaceDN w:val="0"/>
        <w:adjustRightInd w:val="0"/>
        <w:jc w:val="both"/>
        <w:rPr>
          <w:rFonts w:ascii="Arial" w:hAnsi="Arial" w:cs="Arial"/>
          <w:color w:val="262626"/>
          <w:sz w:val="28"/>
          <w:szCs w:val="28"/>
          <w:lang w:val="es-ES"/>
        </w:rPr>
      </w:pPr>
      <w:r w:rsidRPr="000834CD">
        <w:rPr>
          <w:rFonts w:ascii="Arial" w:hAnsi="Arial" w:cs="Arial"/>
          <w:color w:val="262626"/>
          <w:sz w:val="28"/>
          <w:szCs w:val="28"/>
          <w:lang w:val="es-ES"/>
        </w:rPr>
        <w:t>Se utilizan dos métodos diferentes para evaluar a los alumnos.</w:t>
      </w:r>
    </w:p>
    <w:p w14:paraId="0DE6E5A2" w14:textId="77777777" w:rsidR="000834CD" w:rsidRPr="000834CD" w:rsidRDefault="000834CD" w:rsidP="004C7551">
      <w:pPr>
        <w:widowControl w:val="0"/>
        <w:numPr>
          <w:ilvl w:val="0"/>
          <w:numId w:val="1"/>
        </w:numPr>
        <w:tabs>
          <w:tab w:val="left" w:pos="220"/>
          <w:tab w:val="left" w:pos="720"/>
        </w:tabs>
        <w:autoSpaceDE w:val="0"/>
        <w:autoSpaceDN w:val="0"/>
        <w:adjustRightInd w:val="0"/>
        <w:ind w:hanging="720"/>
        <w:jc w:val="both"/>
        <w:rPr>
          <w:rFonts w:ascii="Arial" w:hAnsi="Arial" w:cs="Arial"/>
          <w:color w:val="262626"/>
          <w:sz w:val="28"/>
          <w:szCs w:val="28"/>
          <w:lang w:val="es-ES"/>
        </w:rPr>
      </w:pPr>
      <w:r w:rsidRPr="000834CD">
        <w:rPr>
          <w:rFonts w:ascii="Arial" w:hAnsi="Arial" w:cs="Arial"/>
          <w:color w:val="262626"/>
          <w:sz w:val="28"/>
          <w:szCs w:val="28"/>
          <w:lang w:val="es-ES"/>
        </w:rPr>
        <w:t>Bandas de calificación</w:t>
      </w:r>
    </w:p>
    <w:p w14:paraId="6E042E52" w14:textId="77777777" w:rsidR="000834CD" w:rsidRPr="000834CD" w:rsidRDefault="000834CD" w:rsidP="004C7551">
      <w:pPr>
        <w:widowControl w:val="0"/>
        <w:numPr>
          <w:ilvl w:val="0"/>
          <w:numId w:val="1"/>
        </w:numPr>
        <w:tabs>
          <w:tab w:val="left" w:pos="220"/>
          <w:tab w:val="left" w:pos="720"/>
        </w:tabs>
        <w:autoSpaceDE w:val="0"/>
        <w:autoSpaceDN w:val="0"/>
        <w:adjustRightInd w:val="0"/>
        <w:ind w:hanging="720"/>
        <w:jc w:val="both"/>
        <w:rPr>
          <w:rFonts w:ascii="Arial" w:hAnsi="Arial" w:cs="Arial"/>
          <w:color w:val="262626"/>
          <w:sz w:val="28"/>
          <w:szCs w:val="28"/>
          <w:lang w:val="es-ES"/>
        </w:rPr>
      </w:pPr>
      <w:r w:rsidRPr="000834CD">
        <w:rPr>
          <w:rFonts w:ascii="Arial" w:hAnsi="Arial" w:cs="Arial"/>
          <w:color w:val="262626"/>
          <w:sz w:val="28"/>
          <w:szCs w:val="28"/>
          <w:lang w:val="es-ES"/>
        </w:rPr>
        <w:t>Esquemas de calificación detallados, específicos para cada prueba de examen</w:t>
      </w:r>
    </w:p>
    <w:p w14:paraId="31720204" w14:textId="77777777" w:rsidR="000834CD" w:rsidRPr="000834CD" w:rsidRDefault="000834CD" w:rsidP="004C7551">
      <w:pPr>
        <w:widowControl w:val="0"/>
        <w:autoSpaceDE w:val="0"/>
        <w:autoSpaceDN w:val="0"/>
        <w:adjustRightInd w:val="0"/>
        <w:jc w:val="both"/>
        <w:rPr>
          <w:rFonts w:ascii="Arial" w:hAnsi="Arial" w:cs="Arial"/>
          <w:color w:val="262626"/>
          <w:sz w:val="28"/>
          <w:szCs w:val="28"/>
          <w:lang w:val="es-ES"/>
        </w:rPr>
      </w:pPr>
      <w:r w:rsidRPr="000834CD">
        <w:rPr>
          <w:rFonts w:ascii="Arial" w:hAnsi="Arial" w:cs="Arial"/>
          <w:color w:val="262626"/>
          <w:sz w:val="28"/>
          <w:szCs w:val="28"/>
          <w:lang w:val="es-ES"/>
        </w:rPr>
        <w:t>Las bandas de calificación para cada componente se incluyen en esta guía, y están relacionadas con los objetivos de evaluación establecidos para el curso de Historia y con los descriptores de calificaciones finales del Grupo 3. Los esquemas de calificación son específicos para cada prueba de examen.</w:t>
      </w:r>
    </w:p>
    <w:p w14:paraId="7DC4219A" w14:textId="77777777" w:rsidR="000834CD" w:rsidRPr="000834CD" w:rsidRDefault="000834CD" w:rsidP="004C7551">
      <w:pPr>
        <w:widowControl w:val="0"/>
        <w:autoSpaceDE w:val="0"/>
        <w:autoSpaceDN w:val="0"/>
        <w:adjustRightInd w:val="0"/>
        <w:jc w:val="both"/>
        <w:rPr>
          <w:rFonts w:ascii="Arial" w:hAnsi="Arial" w:cs="Arial"/>
          <w:color w:val="757575"/>
          <w:sz w:val="50"/>
          <w:szCs w:val="50"/>
          <w:lang w:val="es-ES"/>
        </w:rPr>
      </w:pPr>
      <w:r w:rsidRPr="000834CD">
        <w:rPr>
          <w:rFonts w:ascii="Arial" w:hAnsi="Arial" w:cs="Arial"/>
          <w:color w:val="757575"/>
          <w:sz w:val="50"/>
          <w:szCs w:val="50"/>
          <w:lang w:val="es-ES"/>
        </w:rPr>
        <w:t>Descripción detallada de la evaluación externa</w:t>
      </w:r>
    </w:p>
    <w:p w14:paraId="6849FC17" w14:textId="77777777" w:rsidR="000834CD" w:rsidRPr="000834CD" w:rsidRDefault="000834CD" w:rsidP="004C7551">
      <w:pPr>
        <w:widowControl w:val="0"/>
        <w:autoSpaceDE w:val="0"/>
        <w:autoSpaceDN w:val="0"/>
        <w:adjustRightInd w:val="0"/>
        <w:jc w:val="both"/>
        <w:rPr>
          <w:rFonts w:ascii="Arial" w:hAnsi="Arial" w:cs="Arial"/>
          <w:b/>
          <w:bCs/>
          <w:color w:val="262626"/>
          <w:sz w:val="36"/>
          <w:szCs w:val="36"/>
          <w:lang w:val="es-ES"/>
        </w:rPr>
      </w:pPr>
      <w:r w:rsidRPr="000834CD">
        <w:rPr>
          <w:rFonts w:ascii="Arial" w:hAnsi="Arial" w:cs="Arial"/>
          <w:b/>
          <w:bCs/>
          <w:color w:val="262626"/>
          <w:sz w:val="36"/>
          <w:szCs w:val="36"/>
          <w:lang w:val="es-ES"/>
        </w:rPr>
        <w:t>Prueba 1 (NM y NS)</w:t>
      </w:r>
    </w:p>
    <w:p w14:paraId="7958F4F7" w14:textId="77777777" w:rsidR="000834CD" w:rsidRPr="000834CD" w:rsidRDefault="000834CD" w:rsidP="004C7551">
      <w:pPr>
        <w:widowControl w:val="0"/>
        <w:autoSpaceDE w:val="0"/>
        <w:autoSpaceDN w:val="0"/>
        <w:adjustRightInd w:val="0"/>
        <w:jc w:val="both"/>
        <w:rPr>
          <w:rFonts w:ascii="Arial" w:hAnsi="Arial" w:cs="Arial"/>
          <w:b/>
          <w:bCs/>
          <w:color w:val="757575"/>
          <w:sz w:val="28"/>
          <w:szCs w:val="28"/>
          <w:lang w:val="es-ES"/>
        </w:rPr>
      </w:pPr>
      <w:r w:rsidRPr="000834CD">
        <w:rPr>
          <w:rFonts w:ascii="Arial" w:hAnsi="Arial" w:cs="Arial"/>
          <w:b/>
          <w:bCs/>
          <w:color w:val="757575"/>
          <w:sz w:val="28"/>
          <w:szCs w:val="28"/>
          <w:lang w:val="es-ES"/>
        </w:rPr>
        <w:t>Duración: 1 hora</w:t>
      </w:r>
    </w:p>
    <w:p w14:paraId="64BA962C" w14:textId="77777777" w:rsidR="000834CD" w:rsidRPr="000834CD" w:rsidRDefault="000834CD" w:rsidP="004C7551">
      <w:pPr>
        <w:widowControl w:val="0"/>
        <w:autoSpaceDE w:val="0"/>
        <w:autoSpaceDN w:val="0"/>
        <w:adjustRightInd w:val="0"/>
        <w:jc w:val="both"/>
        <w:rPr>
          <w:rFonts w:ascii="Arial" w:hAnsi="Arial" w:cs="Arial"/>
          <w:b/>
          <w:bCs/>
          <w:color w:val="757575"/>
          <w:sz w:val="28"/>
          <w:szCs w:val="28"/>
          <w:lang w:val="es-ES"/>
        </w:rPr>
      </w:pPr>
      <w:r w:rsidRPr="000834CD">
        <w:rPr>
          <w:rFonts w:ascii="Arial" w:hAnsi="Arial" w:cs="Arial"/>
          <w:b/>
          <w:bCs/>
          <w:color w:val="757575"/>
          <w:sz w:val="28"/>
          <w:szCs w:val="28"/>
          <w:lang w:val="es-ES"/>
        </w:rPr>
        <w:t>Porcentaje con respecto al total de la evaluación: NM 30%, NS 20%</w:t>
      </w:r>
    </w:p>
    <w:p w14:paraId="65200C4B" w14:textId="77777777" w:rsidR="000834CD" w:rsidRPr="000834CD" w:rsidRDefault="000834CD" w:rsidP="004C7551">
      <w:pPr>
        <w:widowControl w:val="0"/>
        <w:autoSpaceDE w:val="0"/>
        <w:autoSpaceDN w:val="0"/>
        <w:adjustRightInd w:val="0"/>
        <w:jc w:val="both"/>
        <w:rPr>
          <w:rFonts w:ascii="Arial" w:hAnsi="Arial" w:cs="Arial"/>
          <w:color w:val="262626"/>
          <w:sz w:val="28"/>
          <w:szCs w:val="28"/>
          <w:lang w:val="es-ES"/>
        </w:rPr>
      </w:pPr>
      <w:r w:rsidRPr="000834CD">
        <w:rPr>
          <w:rFonts w:ascii="Arial" w:hAnsi="Arial" w:cs="Arial"/>
          <w:color w:val="262626"/>
          <w:sz w:val="28"/>
          <w:szCs w:val="28"/>
          <w:lang w:val="es-ES"/>
        </w:rPr>
        <w:t xml:space="preserve">La prueba 1 es una prueba de examen sobre los temas prescritos basada en fuentes. Cada tema prescrito comprende dos estudios de caso, y en cada convocatoria de exámenes la prueba se centrará en </w:t>
      </w:r>
      <w:r w:rsidRPr="000834CD">
        <w:rPr>
          <w:rFonts w:ascii="Arial" w:hAnsi="Arial" w:cs="Arial"/>
          <w:b/>
          <w:bCs/>
          <w:color w:val="262626"/>
          <w:sz w:val="28"/>
          <w:szCs w:val="28"/>
          <w:lang w:val="es-ES"/>
        </w:rPr>
        <w:t>uno</w:t>
      </w:r>
      <w:r w:rsidRPr="000834CD">
        <w:rPr>
          <w:rFonts w:ascii="Arial" w:hAnsi="Arial" w:cs="Arial"/>
          <w:color w:val="262626"/>
          <w:sz w:val="28"/>
          <w:szCs w:val="28"/>
          <w:lang w:val="es-ES"/>
        </w:rPr>
        <w:t xml:space="preserve"> de los dos estudios de caso establecidos para cada tema prescrito.</w:t>
      </w:r>
    </w:p>
    <w:p w14:paraId="1984922F" w14:textId="77777777" w:rsidR="000834CD" w:rsidRPr="000834CD" w:rsidRDefault="000834CD" w:rsidP="004C7551">
      <w:pPr>
        <w:widowControl w:val="0"/>
        <w:autoSpaceDE w:val="0"/>
        <w:autoSpaceDN w:val="0"/>
        <w:adjustRightInd w:val="0"/>
        <w:jc w:val="both"/>
        <w:rPr>
          <w:rFonts w:ascii="Arial" w:hAnsi="Arial" w:cs="Arial"/>
          <w:color w:val="262626"/>
          <w:sz w:val="28"/>
          <w:szCs w:val="28"/>
          <w:lang w:val="es-ES"/>
        </w:rPr>
      </w:pPr>
      <w:r w:rsidRPr="000834CD">
        <w:rPr>
          <w:rFonts w:ascii="Arial" w:hAnsi="Arial" w:cs="Arial"/>
          <w:color w:val="262626"/>
          <w:sz w:val="28"/>
          <w:szCs w:val="28"/>
          <w:lang w:val="es-ES"/>
        </w:rPr>
        <w:t>La prueba incluirá cuatro fuentes para cada tema prescrito. Las fuentes serán primarias o una combinación de primarias y secundarias; pueden ser escritas, gráficas o diagramas. La prueba consistirá en cuatro preguntas para cada tema prescrito, y los alumnos deben responder las cuatro preguntas referidas al tema prescrito que han elegido. Algunas preguntas se responderán utilizando solamente pruebas históricas de una o varias de las fuentes, según se indique. En otras preguntas, se pedirá a los alumnos que recurran a sus propios conocimientos sobre el tema prescrito, además de utilizar las pruebas históricas provenientes de las fuentes.</w:t>
      </w:r>
    </w:p>
    <w:p w14:paraId="0DE8CEFF"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p w14:paraId="3759CFC6" w14:textId="77777777" w:rsidR="000834CD" w:rsidRPr="00F20D90" w:rsidRDefault="000834CD" w:rsidP="004C7551">
      <w:pPr>
        <w:widowControl w:val="0"/>
        <w:autoSpaceDE w:val="0"/>
        <w:autoSpaceDN w:val="0"/>
        <w:adjustRightInd w:val="0"/>
        <w:jc w:val="both"/>
        <w:rPr>
          <w:rFonts w:ascii="Helvetica Neue" w:hAnsi="Helvetica Neue" w:cs="Helvetica Neue"/>
          <w:color w:val="262626"/>
          <w:szCs w:val="28"/>
          <w:lang w:val="es-ES"/>
        </w:rPr>
      </w:pPr>
      <w:bookmarkStart w:id="0" w:name="_GoBack"/>
      <w:bookmarkEnd w:id="0"/>
    </w:p>
    <w:p w14:paraId="0B84AF2E"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p w14:paraId="7C413FCA"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p w14:paraId="6E391E8B"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p w14:paraId="2055A592"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p w14:paraId="10BD9B3F"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p w14:paraId="54F9851F"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tbl>
      <w:tblPr>
        <w:tblStyle w:val="Tablaconcuadrcula"/>
        <w:tblW w:w="0" w:type="auto"/>
        <w:tblLook w:val="04A0" w:firstRow="1" w:lastRow="0" w:firstColumn="1" w:lastColumn="0" w:noHBand="0" w:noVBand="1"/>
      </w:tblPr>
      <w:tblGrid>
        <w:gridCol w:w="2992"/>
        <w:gridCol w:w="2993"/>
        <w:gridCol w:w="2993"/>
      </w:tblGrid>
      <w:tr w:rsidR="000834CD" w14:paraId="526D4B13" w14:textId="77777777" w:rsidTr="000834CD">
        <w:tc>
          <w:tcPr>
            <w:tcW w:w="2992" w:type="dxa"/>
          </w:tcPr>
          <w:p w14:paraId="0374C9D0" w14:textId="77777777" w:rsidR="000834CD" w:rsidRPr="000834CD" w:rsidRDefault="000834CD" w:rsidP="004C7551">
            <w:pPr>
              <w:widowControl w:val="0"/>
              <w:autoSpaceDE w:val="0"/>
              <w:autoSpaceDN w:val="0"/>
              <w:adjustRightInd w:val="0"/>
              <w:jc w:val="both"/>
              <w:rPr>
                <w:rFonts w:ascii="Arial" w:hAnsi="Arial" w:cs="Arial"/>
                <w:color w:val="262626"/>
                <w:lang w:val="es-ES"/>
              </w:rPr>
            </w:pPr>
            <w:r>
              <w:rPr>
                <w:rFonts w:ascii="Helvetica Neue" w:hAnsi="Helvetica Neue" w:cs="Helvetica Neue"/>
                <w:color w:val="262626"/>
                <w:sz w:val="28"/>
                <w:szCs w:val="28"/>
                <w:lang w:val="es-ES"/>
              </w:rPr>
              <w:t>Primera Pregunta, A</w:t>
            </w:r>
          </w:p>
        </w:tc>
        <w:tc>
          <w:tcPr>
            <w:tcW w:w="2993" w:type="dxa"/>
          </w:tcPr>
          <w:p w14:paraId="326ED1FB"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Evalúa la comprensión de una de las fuentes</w:t>
            </w:r>
          </w:p>
        </w:tc>
        <w:tc>
          <w:tcPr>
            <w:tcW w:w="2993" w:type="dxa"/>
          </w:tcPr>
          <w:p w14:paraId="607A6478"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3 puntos</w:t>
            </w:r>
          </w:p>
        </w:tc>
      </w:tr>
      <w:tr w:rsidR="000834CD" w14:paraId="449887FF" w14:textId="77777777" w:rsidTr="000834CD">
        <w:tc>
          <w:tcPr>
            <w:tcW w:w="2992" w:type="dxa"/>
          </w:tcPr>
          <w:p w14:paraId="45E5FEEE"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Primera pregunta, B</w:t>
            </w:r>
          </w:p>
        </w:tc>
        <w:tc>
          <w:tcPr>
            <w:tcW w:w="2993" w:type="dxa"/>
          </w:tcPr>
          <w:p w14:paraId="2371C0F0"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Evalúa la comprensión de una de las fuentes</w:t>
            </w:r>
          </w:p>
        </w:tc>
        <w:tc>
          <w:tcPr>
            <w:tcW w:w="2993" w:type="dxa"/>
          </w:tcPr>
          <w:p w14:paraId="5E036DCF"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2 puntos</w:t>
            </w:r>
          </w:p>
        </w:tc>
      </w:tr>
      <w:tr w:rsidR="000834CD" w14:paraId="732D8675" w14:textId="77777777" w:rsidTr="000834CD">
        <w:tc>
          <w:tcPr>
            <w:tcW w:w="2992" w:type="dxa"/>
          </w:tcPr>
          <w:p w14:paraId="2AA62DC3"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Segunda pregunta</w:t>
            </w:r>
          </w:p>
        </w:tc>
        <w:tc>
          <w:tcPr>
            <w:tcW w:w="2993" w:type="dxa"/>
          </w:tcPr>
          <w:p w14:paraId="44364970"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Deberán analizar el valor y las limitaciones de una de las fuentes, este análisis se debe hacer referencia al Origen, propósito  y contenido</w:t>
            </w:r>
          </w:p>
        </w:tc>
        <w:tc>
          <w:tcPr>
            <w:tcW w:w="2993" w:type="dxa"/>
          </w:tcPr>
          <w:p w14:paraId="71AC1EFB"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4 puntos</w:t>
            </w:r>
          </w:p>
        </w:tc>
      </w:tr>
      <w:tr w:rsidR="000834CD" w14:paraId="5C424FB1" w14:textId="77777777" w:rsidTr="000834CD">
        <w:tc>
          <w:tcPr>
            <w:tcW w:w="2992" w:type="dxa"/>
          </w:tcPr>
          <w:p w14:paraId="348C1956"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 xml:space="preserve">Tercer pregunta </w:t>
            </w:r>
          </w:p>
        </w:tc>
        <w:tc>
          <w:tcPr>
            <w:tcW w:w="2993" w:type="dxa"/>
          </w:tcPr>
          <w:p w14:paraId="7DB4C231"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Alumnos deben comparar y contrastarlo que las dos fuentes revelan al historiador que estudia el tema</w:t>
            </w:r>
          </w:p>
        </w:tc>
        <w:tc>
          <w:tcPr>
            <w:tcW w:w="2993" w:type="dxa"/>
          </w:tcPr>
          <w:p w14:paraId="1A8ADCB8"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6 puntos</w:t>
            </w:r>
          </w:p>
        </w:tc>
      </w:tr>
      <w:tr w:rsidR="000834CD" w14:paraId="5E2B0A29" w14:textId="77777777" w:rsidTr="000834CD">
        <w:tc>
          <w:tcPr>
            <w:tcW w:w="2992" w:type="dxa"/>
          </w:tcPr>
          <w:p w14:paraId="76F812C3"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Cuarta pregunta</w:t>
            </w:r>
          </w:p>
        </w:tc>
        <w:tc>
          <w:tcPr>
            <w:tcW w:w="2993" w:type="dxa"/>
          </w:tcPr>
          <w:p w14:paraId="25F4BE66"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En esta pregunta los alumnos deben basar su evaluación  tanto en las fuentes como en sus conocimientos</w:t>
            </w:r>
          </w:p>
        </w:tc>
        <w:tc>
          <w:tcPr>
            <w:tcW w:w="2993" w:type="dxa"/>
          </w:tcPr>
          <w:p w14:paraId="393916C3"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9 puntos</w:t>
            </w:r>
          </w:p>
        </w:tc>
      </w:tr>
    </w:tbl>
    <w:p w14:paraId="3431A023"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p>
    <w:p w14:paraId="6ED91F00"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puntuación máxima para esta prueba es 24 puntos. La prueba se corrige utilizando un esquema de calificación específico, salvo en el caso de la última pregunta para cada tema prescrito, que se corrige usando las bandas de calificación genéricas que se incluyen a continuación, además del esquema de calificación específico para la prueba.</w:t>
      </w:r>
    </w:p>
    <w:p w14:paraId="1A873D5C" w14:textId="77777777" w:rsidR="000834CD" w:rsidRPr="000834CD" w:rsidRDefault="000834CD" w:rsidP="004C7551">
      <w:pPr>
        <w:widowControl w:val="0"/>
        <w:autoSpaceDE w:val="0"/>
        <w:autoSpaceDN w:val="0"/>
        <w:adjustRightInd w:val="0"/>
        <w:jc w:val="both"/>
        <w:rPr>
          <w:rFonts w:ascii="Helvetica Neue" w:hAnsi="Helvetica Neue" w:cs="Helvetica Neue"/>
          <w:b/>
          <w:bCs/>
          <w:color w:val="262626"/>
          <w:sz w:val="28"/>
          <w:szCs w:val="28"/>
          <w:lang w:val="es-ES"/>
        </w:rPr>
      </w:pPr>
      <w:r>
        <w:rPr>
          <w:rFonts w:ascii="Helvetica Neue" w:hAnsi="Helvetica Neue" w:cs="Helvetica Neue"/>
          <w:b/>
          <w:bCs/>
          <w:color w:val="262626"/>
          <w:sz w:val="28"/>
          <w:szCs w:val="28"/>
          <w:lang w:val="es-ES"/>
        </w:rPr>
        <w:t>Bandas de calificación de evaluación externa: prueba 1 (cuarta pregunta, NM y NS)</w:t>
      </w:r>
    </w:p>
    <w:p w14:paraId="5149BDB9" w14:textId="77777777" w:rsidR="000834CD" w:rsidRDefault="000834CD" w:rsidP="004C7551">
      <w:pPr>
        <w:widowControl w:val="0"/>
        <w:autoSpaceDE w:val="0"/>
        <w:autoSpaceDN w:val="0"/>
        <w:adjustRightInd w:val="0"/>
        <w:jc w:val="both"/>
        <w:rPr>
          <w:rFonts w:ascii="Helvetica Neue" w:hAnsi="Helvetica Neue" w:cs="Helvetica Neue"/>
          <w:b/>
          <w:bCs/>
          <w:color w:val="262626"/>
          <w:sz w:val="36"/>
          <w:szCs w:val="36"/>
          <w:lang w:val="es-ES"/>
        </w:rPr>
      </w:pPr>
    </w:p>
    <w:p w14:paraId="1500511B" w14:textId="77777777" w:rsidR="00E16EEB" w:rsidRDefault="00E16EEB" w:rsidP="004C7551">
      <w:pPr>
        <w:widowControl w:val="0"/>
        <w:autoSpaceDE w:val="0"/>
        <w:autoSpaceDN w:val="0"/>
        <w:adjustRightInd w:val="0"/>
        <w:jc w:val="both"/>
        <w:rPr>
          <w:rFonts w:ascii="Helvetica Neue" w:hAnsi="Helvetica Neue" w:cs="Helvetica Neue"/>
          <w:b/>
          <w:bCs/>
          <w:color w:val="262626"/>
          <w:sz w:val="36"/>
          <w:szCs w:val="36"/>
          <w:lang w:val="es-ES"/>
        </w:rPr>
      </w:pPr>
    </w:p>
    <w:p w14:paraId="483425B1" w14:textId="77777777" w:rsidR="00E16EEB" w:rsidRDefault="00E16EEB" w:rsidP="004C7551">
      <w:pPr>
        <w:widowControl w:val="0"/>
        <w:autoSpaceDE w:val="0"/>
        <w:autoSpaceDN w:val="0"/>
        <w:adjustRightInd w:val="0"/>
        <w:jc w:val="both"/>
        <w:rPr>
          <w:rFonts w:ascii="Helvetica Neue" w:hAnsi="Helvetica Neue" w:cs="Helvetica Neue"/>
          <w:b/>
          <w:bCs/>
          <w:color w:val="262626"/>
          <w:sz w:val="36"/>
          <w:szCs w:val="36"/>
          <w:lang w:val="es-ES"/>
        </w:rPr>
      </w:pPr>
    </w:p>
    <w:tbl>
      <w:tblPr>
        <w:tblStyle w:val="Tablaconcuadrcula"/>
        <w:tblW w:w="0" w:type="auto"/>
        <w:tblLook w:val="04A0" w:firstRow="1" w:lastRow="0" w:firstColumn="1" w:lastColumn="0" w:noHBand="0" w:noVBand="1"/>
      </w:tblPr>
      <w:tblGrid>
        <w:gridCol w:w="1424"/>
        <w:gridCol w:w="7554"/>
      </w:tblGrid>
      <w:tr w:rsidR="000834CD" w14:paraId="4BBA8F2F" w14:textId="77777777" w:rsidTr="00355A17">
        <w:tc>
          <w:tcPr>
            <w:tcW w:w="1424" w:type="dxa"/>
          </w:tcPr>
          <w:p w14:paraId="1396C993" w14:textId="77777777" w:rsidR="000834CD" w:rsidRDefault="000834CD" w:rsidP="004C7551">
            <w:pPr>
              <w:widowControl w:val="0"/>
              <w:autoSpaceDE w:val="0"/>
              <w:autoSpaceDN w:val="0"/>
              <w:adjustRightInd w:val="0"/>
              <w:jc w:val="both"/>
              <w:rPr>
                <w:rFonts w:ascii="Helvetica Neue" w:hAnsi="Helvetica Neue" w:cs="Helvetica Neue"/>
                <w:b/>
                <w:bCs/>
                <w:color w:val="262626"/>
                <w:sz w:val="36"/>
                <w:szCs w:val="36"/>
                <w:lang w:val="es-ES"/>
              </w:rPr>
            </w:pPr>
            <w:r>
              <w:rPr>
                <w:rFonts w:ascii="Helvetica Neue" w:hAnsi="Helvetica Neue" w:cs="Helvetica Neue"/>
                <w:b/>
                <w:bCs/>
                <w:color w:val="262626"/>
                <w:sz w:val="36"/>
                <w:szCs w:val="36"/>
                <w:lang w:val="es-ES"/>
              </w:rPr>
              <w:t>Puntos</w:t>
            </w:r>
          </w:p>
        </w:tc>
        <w:tc>
          <w:tcPr>
            <w:tcW w:w="7554" w:type="dxa"/>
          </w:tcPr>
          <w:p w14:paraId="1ABFD0D1" w14:textId="77777777" w:rsidR="000834CD" w:rsidRDefault="000834CD" w:rsidP="004C7551">
            <w:pPr>
              <w:widowControl w:val="0"/>
              <w:autoSpaceDE w:val="0"/>
              <w:autoSpaceDN w:val="0"/>
              <w:adjustRightInd w:val="0"/>
              <w:jc w:val="both"/>
              <w:rPr>
                <w:rFonts w:ascii="Helvetica Neue" w:hAnsi="Helvetica Neue" w:cs="Helvetica Neue"/>
                <w:b/>
                <w:bCs/>
                <w:color w:val="262626"/>
                <w:sz w:val="36"/>
                <w:szCs w:val="36"/>
                <w:lang w:val="es-ES"/>
              </w:rPr>
            </w:pPr>
            <w:r>
              <w:rPr>
                <w:rFonts w:ascii="Helvetica Neue" w:hAnsi="Helvetica Neue" w:cs="Helvetica Neue"/>
                <w:b/>
                <w:bCs/>
                <w:color w:val="262626"/>
                <w:sz w:val="36"/>
                <w:szCs w:val="36"/>
                <w:lang w:val="es-ES"/>
              </w:rPr>
              <w:t>Descriptor</w:t>
            </w:r>
          </w:p>
        </w:tc>
      </w:tr>
      <w:tr w:rsidR="000834CD" w14:paraId="7BB19DC7" w14:textId="77777777" w:rsidTr="00355A17">
        <w:tc>
          <w:tcPr>
            <w:tcW w:w="1424" w:type="dxa"/>
          </w:tcPr>
          <w:p w14:paraId="4F13CCD3" w14:textId="77777777" w:rsidR="000834CD" w:rsidRPr="000834CD" w:rsidRDefault="000834CD" w:rsidP="004C7551">
            <w:pPr>
              <w:widowControl w:val="0"/>
              <w:autoSpaceDE w:val="0"/>
              <w:autoSpaceDN w:val="0"/>
              <w:adjustRightInd w:val="0"/>
              <w:jc w:val="both"/>
              <w:rPr>
                <w:rFonts w:ascii="Helvetica Neue" w:hAnsi="Helvetica Neue" w:cs="Helvetica Neue"/>
                <w:bCs/>
                <w:color w:val="262626"/>
                <w:lang w:val="es-ES"/>
              </w:rPr>
            </w:pPr>
            <w:r>
              <w:rPr>
                <w:rFonts w:ascii="Helvetica Neue" w:hAnsi="Helvetica Neue" w:cs="Helvetica Neue"/>
                <w:b/>
                <w:bCs/>
                <w:color w:val="262626"/>
                <w:lang w:val="es-ES"/>
              </w:rPr>
              <w:t>0</w:t>
            </w:r>
          </w:p>
        </w:tc>
        <w:tc>
          <w:tcPr>
            <w:tcW w:w="7554" w:type="dxa"/>
          </w:tcPr>
          <w:p w14:paraId="45A590D2" w14:textId="77777777" w:rsidR="000834CD" w:rsidRPr="000834CD" w:rsidRDefault="000834CD" w:rsidP="004C7551">
            <w:pPr>
              <w:widowControl w:val="0"/>
              <w:autoSpaceDE w:val="0"/>
              <w:autoSpaceDN w:val="0"/>
              <w:adjustRightInd w:val="0"/>
              <w:jc w:val="both"/>
              <w:rPr>
                <w:rFonts w:ascii="Helvetica Neue" w:hAnsi="Helvetica Neue" w:cs="Helvetica Neue"/>
                <w:bCs/>
                <w:color w:val="262626"/>
                <w:lang w:val="es-ES"/>
              </w:rPr>
            </w:pPr>
            <w:r>
              <w:rPr>
                <w:rFonts w:ascii="Helvetica Neue" w:hAnsi="Helvetica Neue" w:cs="Helvetica Neue"/>
                <w:color w:val="262626"/>
                <w:sz w:val="28"/>
                <w:szCs w:val="28"/>
                <w:lang w:val="es-ES"/>
              </w:rPr>
              <w:t>La respuesta no alcanza ninguno de los niveles especificados por los descriptores que figuran a continuación.</w:t>
            </w:r>
          </w:p>
        </w:tc>
      </w:tr>
      <w:tr w:rsidR="000834CD" w14:paraId="00222110" w14:textId="77777777" w:rsidTr="00355A17">
        <w:tc>
          <w:tcPr>
            <w:tcW w:w="1424" w:type="dxa"/>
          </w:tcPr>
          <w:p w14:paraId="67FEE529" w14:textId="77777777" w:rsidR="000834CD" w:rsidRPr="000834CD" w:rsidRDefault="000834CD" w:rsidP="004C7551">
            <w:pPr>
              <w:widowControl w:val="0"/>
              <w:autoSpaceDE w:val="0"/>
              <w:autoSpaceDN w:val="0"/>
              <w:adjustRightInd w:val="0"/>
              <w:jc w:val="both"/>
              <w:rPr>
                <w:rFonts w:ascii="Helvetica Neue" w:hAnsi="Helvetica Neue" w:cs="Helvetica Neue"/>
                <w:bCs/>
                <w:color w:val="262626"/>
                <w:sz w:val="28"/>
                <w:szCs w:val="28"/>
                <w:lang w:val="es-ES"/>
              </w:rPr>
            </w:pPr>
            <w:r>
              <w:rPr>
                <w:rFonts w:ascii="Helvetica Neue" w:hAnsi="Helvetica Neue" w:cs="Helvetica Neue"/>
                <w:bCs/>
                <w:color w:val="262626"/>
                <w:sz w:val="28"/>
                <w:szCs w:val="28"/>
                <w:lang w:val="es-ES"/>
              </w:rPr>
              <w:t>1-3</w:t>
            </w:r>
          </w:p>
        </w:tc>
        <w:tc>
          <w:tcPr>
            <w:tcW w:w="7554" w:type="dxa"/>
          </w:tcPr>
          <w:p w14:paraId="38AA3820"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no se centra en la pregunta.</w:t>
            </w:r>
          </w:p>
          <w:p w14:paraId="7538027B"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Si bien se incluyen referencias a las fuentes, es probable que a este nivel las referencias consistan en descripciones del contenido de las fuentes y no se utilicen como pruebas para respaldar el análisis.</w:t>
            </w:r>
          </w:p>
          <w:p w14:paraId="00C4273E" w14:textId="77777777" w:rsidR="000834CD" w:rsidRDefault="000F0A70" w:rsidP="004C7551">
            <w:pPr>
              <w:widowControl w:val="0"/>
              <w:autoSpaceDE w:val="0"/>
              <w:autoSpaceDN w:val="0"/>
              <w:adjustRightInd w:val="0"/>
              <w:jc w:val="both"/>
              <w:rPr>
                <w:rFonts w:ascii="Helvetica Neue" w:hAnsi="Helvetica Neue" w:cs="Helvetica Neue"/>
                <w:b/>
                <w:bCs/>
                <w:color w:val="262626"/>
                <w:sz w:val="36"/>
                <w:szCs w:val="36"/>
                <w:lang w:val="es-ES"/>
              </w:rPr>
            </w:pPr>
            <w:r>
              <w:rPr>
                <w:rFonts w:ascii="Helvetica Neue" w:hAnsi="Helvetica Neue" w:cs="Helvetica Neue"/>
                <w:color w:val="262626"/>
                <w:sz w:val="28"/>
                <w:szCs w:val="28"/>
                <w:lang w:val="es-ES"/>
              </w:rPr>
              <w:t>No se demuestran conocimientos propios o, si quedan demostrados, son incorrectos o carecen de pertinencia.</w:t>
            </w:r>
          </w:p>
        </w:tc>
      </w:tr>
      <w:tr w:rsidR="000F0A70" w14:paraId="08283D68" w14:textId="77777777" w:rsidTr="00355A17">
        <w:tc>
          <w:tcPr>
            <w:tcW w:w="1424" w:type="dxa"/>
          </w:tcPr>
          <w:p w14:paraId="385B0462" w14:textId="77777777" w:rsidR="000F0A70" w:rsidRDefault="000F0A70" w:rsidP="004C7551">
            <w:pPr>
              <w:widowControl w:val="0"/>
              <w:autoSpaceDE w:val="0"/>
              <w:autoSpaceDN w:val="0"/>
              <w:adjustRightInd w:val="0"/>
              <w:jc w:val="both"/>
              <w:rPr>
                <w:rFonts w:ascii="Helvetica Neue" w:hAnsi="Helvetica Neue" w:cs="Helvetica Neue"/>
                <w:bCs/>
                <w:color w:val="262626"/>
                <w:sz w:val="28"/>
                <w:szCs w:val="28"/>
                <w:lang w:val="es-ES"/>
              </w:rPr>
            </w:pPr>
            <w:r>
              <w:rPr>
                <w:rFonts w:ascii="Helvetica Neue" w:hAnsi="Helvetica Neue" w:cs="Helvetica Neue"/>
                <w:bCs/>
                <w:color w:val="262626"/>
                <w:sz w:val="28"/>
                <w:szCs w:val="28"/>
                <w:lang w:val="es-ES"/>
              </w:rPr>
              <w:t>4-6</w:t>
            </w:r>
          </w:p>
        </w:tc>
        <w:tc>
          <w:tcPr>
            <w:tcW w:w="7554" w:type="dxa"/>
          </w:tcPr>
          <w:p w14:paraId="16C3F0F7"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En su mayor parte, la respuesta se centra en la pregunta.</w:t>
            </w:r>
          </w:p>
          <w:p w14:paraId="75FFFB22"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incluyen referencias a las fuentes, y esas referencias se utilizan como pruebas para respaldar el análisis.</w:t>
            </w:r>
          </w:p>
          <w:p w14:paraId="78524B86"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conocimientos propios demostrados carecen de precisión o pertinencia. No se intenta o apenas se intenta sintetizar los conocimientos propios y la información proveniente de las fuentes.</w:t>
            </w:r>
          </w:p>
        </w:tc>
      </w:tr>
      <w:tr w:rsidR="000F0A70" w14:paraId="1CB204AC" w14:textId="77777777" w:rsidTr="00355A17">
        <w:tc>
          <w:tcPr>
            <w:tcW w:w="1424" w:type="dxa"/>
          </w:tcPr>
          <w:p w14:paraId="0AC87DA6" w14:textId="77777777" w:rsidR="000F0A70" w:rsidRDefault="000F0A70" w:rsidP="004C7551">
            <w:pPr>
              <w:widowControl w:val="0"/>
              <w:autoSpaceDE w:val="0"/>
              <w:autoSpaceDN w:val="0"/>
              <w:adjustRightInd w:val="0"/>
              <w:jc w:val="both"/>
              <w:rPr>
                <w:rFonts w:ascii="Helvetica Neue" w:hAnsi="Helvetica Neue" w:cs="Helvetica Neue"/>
                <w:bCs/>
                <w:color w:val="262626"/>
                <w:sz w:val="28"/>
                <w:szCs w:val="28"/>
                <w:lang w:val="es-ES"/>
              </w:rPr>
            </w:pPr>
            <w:r>
              <w:rPr>
                <w:rFonts w:ascii="Helvetica Neue" w:hAnsi="Helvetica Neue" w:cs="Helvetica Neue"/>
                <w:bCs/>
                <w:color w:val="262626"/>
                <w:sz w:val="28"/>
                <w:szCs w:val="28"/>
                <w:lang w:val="es-ES"/>
              </w:rPr>
              <w:t>7-9</w:t>
            </w:r>
          </w:p>
        </w:tc>
        <w:tc>
          <w:tcPr>
            <w:tcW w:w="7554" w:type="dxa"/>
          </w:tcPr>
          <w:p w14:paraId="48890BFE"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se centra en la pregunta.</w:t>
            </w:r>
          </w:p>
          <w:p w14:paraId="4C9DDC13"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incluyen referencias claras a las fuentes, y esas referencias se utilizan eficazmente como pruebas para respaldar el análisis.</w:t>
            </w:r>
          </w:p>
          <w:p w14:paraId="5F10A5B5" w14:textId="77777777" w:rsidR="000F0A70" w:rsidRDefault="000F0A70"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utilizan conocimientos propios precisos y pertinentes. Se sintetizan eficazmente los conocimientos propios y la información proveniente de las fuentes.</w:t>
            </w:r>
          </w:p>
        </w:tc>
      </w:tr>
    </w:tbl>
    <w:p w14:paraId="7469EDE2" w14:textId="77777777" w:rsidR="000834CD" w:rsidRDefault="000834CD" w:rsidP="004C7551">
      <w:pPr>
        <w:widowControl w:val="0"/>
        <w:autoSpaceDE w:val="0"/>
        <w:autoSpaceDN w:val="0"/>
        <w:adjustRightInd w:val="0"/>
        <w:jc w:val="both"/>
        <w:rPr>
          <w:rFonts w:ascii="Helvetica Neue" w:hAnsi="Helvetica Neue" w:cs="Helvetica Neue"/>
          <w:b/>
          <w:bCs/>
          <w:color w:val="262626"/>
          <w:sz w:val="36"/>
          <w:szCs w:val="36"/>
          <w:lang w:val="es-ES"/>
        </w:rPr>
      </w:pPr>
      <w:r>
        <w:rPr>
          <w:rFonts w:ascii="Helvetica Neue" w:hAnsi="Helvetica Neue" w:cs="Helvetica Neue"/>
          <w:b/>
          <w:bCs/>
          <w:color w:val="262626"/>
          <w:sz w:val="36"/>
          <w:szCs w:val="36"/>
          <w:lang w:val="es-ES"/>
        </w:rPr>
        <w:t>Prueba 2 (NM y NS)</w:t>
      </w:r>
    </w:p>
    <w:p w14:paraId="1ED7E82C" w14:textId="77777777" w:rsidR="000834CD" w:rsidRDefault="000834CD" w:rsidP="004C7551">
      <w:pPr>
        <w:widowControl w:val="0"/>
        <w:autoSpaceDE w:val="0"/>
        <w:autoSpaceDN w:val="0"/>
        <w:adjustRightInd w:val="0"/>
        <w:jc w:val="both"/>
        <w:rPr>
          <w:rFonts w:ascii="Helvetica Neue" w:hAnsi="Helvetica Neue" w:cs="Helvetica Neue"/>
          <w:b/>
          <w:bCs/>
          <w:color w:val="757575"/>
          <w:sz w:val="28"/>
          <w:szCs w:val="28"/>
          <w:lang w:val="es-ES"/>
        </w:rPr>
      </w:pPr>
      <w:r>
        <w:rPr>
          <w:rFonts w:ascii="Helvetica Neue" w:hAnsi="Helvetica Neue" w:cs="Helvetica Neue"/>
          <w:b/>
          <w:bCs/>
          <w:color w:val="757575"/>
          <w:sz w:val="28"/>
          <w:szCs w:val="28"/>
          <w:lang w:val="es-ES"/>
        </w:rPr>
        <w:t>Duración: 1 hora 30 minutos</w:t>
      </w:r>
    </w:p>
    <w:p w14:paraId="5BF29735" w14:textId="77777777" w:rsidR="000834CD" w:rsidRDefault="000834CD" w:rsidP="004C7551">
      <w:pPr>
        <w:widowControl w:val="0"/>
        <w:autoSpaceDE w:val="0"/>
        <w:autoSpaceDN w:val="0"/>
        <w:adjustRightInd w:val="0"/>
        <w:jc w:val="both"/>
        <w:rPr>
          <w:rFonts w:ascii="Helvetica Neue" w:hAnsi="Helvetica Neue" w:cs="Helvetica Neue"/>
          <w:b/>
          <w:bCs/>
          <w:color w:val="757575"/>
          <w:sz w:val="28"/>
          <w:szCs w:val="28"/>
          <w:lang w:val="es-ES"/>
        </w:rPr>
      </w:pPr>
      <w:r>
        <w:rPr>
          <w:rFonts w:ascii="Helvetica Neue" w:hAnsi="Helvetica Neue" w:cs="Helvetica Neue"/>
          <w:b/>
          <w:bCs/>
          <w:color w:val="757575"/>
          <w:sz w:val="28"/>
          <w:szCs w:val="28"/>
          <w:lang w:val="es-ES"/>
        </w:rPr>
        <w:t>Porcentaje con respecto al total de la evaluación: NM 45%, NS 25%</w:t>
      </w:r>
    </w:p>
    <w:p w14:paraId="049FA114"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prueba 2 es una prueba con preguntas de desarrollo basada en los 12 temas de historia mundial.</w:t>
      </w:r>
    </w:p>
    <w:p w14:paraId="7AF3210D"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 xml:space="preserve">La prueba consta de 2 preguntas para cada uno de los 12 temas. Los alumnos deberán responder </w:t>
      </w:r>
      <w:r>
        <w:rPr>
          <w:rFonts w:ascii="Helvetica Neue" w:hAnsi="Helvetica Neue" w:cs="Helvetica Neue"/>
          <w:b/>
          <w:bCs/>
          <w:color w:val="262626"/>
          <w:sz w:val="28"/>
          <w:szCs w:val="28"/>
          <w:lang w:val="es-ES"/>
        </w:rPr>
        <w:t>dos</w:t>
      </w:r>
      <w:r>
        <w:rPr>
          <w:rFonts w:ascii="Helvetica Neue" w:hAnsi="Helvetica Neue" w:cs="Helvetica Neue"/>
          <w:color w:val="262626"/>
          <w:sz w:val="28"/>
          <w:szCs w:val="28"/>
          <w:lang w:val="es-ES"/>
        </w:rPr>
        <w:t xml:space="preserve"> preguntas, cada una sobre un tema </w:t>
      </w:r>
      <w:r>
        <w:rPr>
          <w:rFonts w:ascii="Helvetica Neue" w:hAnsi="Helvetica Neue" w:cs="Helvetica Neue"/>
          <w:b/>
          <w:bCs/>
          <w:color w:val="262626"/>
          <w:sz w:val="28"/>
          <w:szCs w:val="28"/>
          <w:lang w:val="es-ES"/>
        </w:rPr>
        <w:t>diferente</w:t>
      </w:r>
      <w:r>
        <w:rPr>
          <w:rFonts w:ascii="Helvetica Neue" w:hAnsi="Helvetica Neue" w:cs="Helvetica Neue"/>
          <w:color w:val="262626"/>
          <w:sz w:val="28"/>
          <w:szCs w:val="28"/>
          <w:lang w:val="es-ES"/>
        </w:rPr>
        <w:t xml:space="preserve">. Algunas preguntas comparativas en esta prueba requieren el uso de ejemplos de más de una región. En las preguntas de la prueba 2 la palabra “región” se refiere a una de las cuatro opciones </w:t>
      </w:r>
      <w:r>
        <w:rPr>
          <w:rFonts w:ascii="Helvetica Neue" w:hAnsi="Helvetica Neue" w:cs="Helvetica Neue"/>
          <w:color w:val="262626"/>
          <w:sz w:val="28"/>
          <w:szCs w:val="28"/>
          <w:lang w:val="es-ES"/>
        </w:rPr>
        <w:lastRenderedPageBreak/>
        <w:t>regionales indicadas en el mapa mundial que aparece en la introducción a los temas de historia mundial.</w:t>
      </w:r>
    </w:p>
    <w:p w14:paraId="5C47F70B"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puntuación máxima para esta prueba es 30 puntos; la prueba se corrige utilizando bandas de calificación genéricas y un esquema de calificación específico.</w:t>
      </w:r>
    </w:p>
    <w:p w14:paraId="0EA6B8E4" w14:textId="77777777" w:rsidR="00EF59B5" w:rsidRDefault="00EF59B5" w:rsidP="004C7551">
      <w:pPr>
        <w:widowControl w:val="0"/>
        <w:autoSpaceDE w:val="0"/>
        <w:autoSpaceDN w:val="0"/>
        <w:adjustRightInd w:val="0"/>
        <w:jc w:val="both"/>
        <w:rPr>
          <w:rFonts w:ascii="Helvetica Neue" w:hAnsi="Helvetica Neue" w:cs="Helvetica Neue"/>
          <w:b/>
          <w:bCs/>
          <w:color w:val="262626"/>
          <w:sz w:val="28"/>
          <w:szCs w:val="28"/>
          <w:lang w:val="es-ES"/>
        </w:rPr>
      </w:pPr>
      <w:r>
        <w:rPr>
          <w:rFonts w:ascii="Helvetica Neue" w:hAnsi="Helvetica Neue" w:cs="Helvetica Neue"/>
          <w:b/>
          <w:bCs/>
          <w:color w:val="262626"/>
          <w:sz w:val="28"/>
          <w:szCs w:val="28"/>
          <w:lang w:val="es-ES"/>
        </w:rPr>
        <w:t xml:space="preserve">Bandas de calificación de </w:t>
      </w:r>
      <w:r w:rsidRPr="004C7551">
        <w:rPr>
          <w:rFonts w:ascii="Helvetica Neue" w:hAnsi="Helvetica Neue" w:cs="Helvetica Neue"/>
          <w:color w:val="262626"/>
          <w:sz w:val="28"/>
          <w:szCs w:val="28"/>
          <w:lang w:val="es-ES"/>
        </w:rPr>
        <w:t>evaluación</w:t>
      </w:r>
      <w:r>
        <w:rPr>
          <w:rFonts w:ascii="Helvetica Neue" w:hAnsi="Helvetica Neue" w:cs="Helvetica Neue"/>
          <w:b/>
          <w:bCs/>
          <w:color w:val="262626"/>
          <w:sz w:val="28"/>
          <w:szCs w:val="28"/>
          <w:lang w:val="es-ES"/>
        </w:rPr>
        <w:t xml:space="preserve"> externa: prueba 2 (NM y NS)</w:t>
      </w:r>
    </w:p>
    <w:p w14:paraId="4FDD3CA2"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p>
    <w:tbl>
      <w:tblPr>
        <w:tblStyle w:val="Tablaconcuadrcula"/>
        <w:tblW w:w="0" w:type="auto"/>
        <w:tblLook w:val="04A0" w:firstRow="1" w:lastRow="0" w:firstColumn="1" w:lastColumn="0" w:noHBand="0" w:noVBand="1"/>
      </w:tblPr>
      <w:tblGrid>
        <w:gridCol w:w="1098"/>
        <w:gridCol w:w="7880"/>
      </w:tblGrid>
      <w:tr w:rsidR="00355A17" w14:paraId="110016B9" w14:textId="77777777" w:rsidTr="00EF59B5">
        <w:tc>
          <w:tcPr>
            <w:tcW w:w="1098" w:type="dxa"/>
          </w:tcPr>
          <w:p w14:paraId="756BF24F"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Puntos</w:t>
            </w:r>
          </w:p>
        </w:tc>
        <w:tc>
          <w:tcPr>
            <w:tcW w:w="7880" w:type="dxa"/>
          </w:tcPr>
          <w:p w14:paraId="493BAA46"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Descriptor Nivel</w:t>
            </w:r>
          </w:p>
        </w:tc>
      </w:tr>
      <w:tr w:rsidR="00355A17" w14:paraId="5EA7FB0D" w14:textId="77777777" w:rsidTr="00EF59B5">
        <w:tc>
          <w:tcPr>
            <w:tcW w:w="1098" w:type="dxa"/>
          </w:tcPr>
          <w:p w14:paraId="4B748223"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0</w:t>
            </w:r>
          </w:p>
        </w:tc>
        <w:tc>
          <w:tcPr>
            <w:tcW w:w="7880" w:type="dxa"/>
          </w:tcPr>
          <w:p w14:paraId="4FB144C4"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no alcanza ninguno de los niveles especificados por los descriptores que figuran a continuación</w:t>
            </w:r>
          </w:p>
        </w:tc>
      </w:tr>
      <w:tr w:rsidR="00355A17" w14:paraId="2DB17B48" w14:textId="77777777" w:rsidTr="00EF59B5">
        <w:tc>
          <w:tcPr>
            <w:tcW w:w="1098" w:type="dxa"/>
          </w:tcPr>
          <w:p w14:paraId="6D57187B"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1-3</w:t>
            </w:r>
          </w:p>
        </w:tc>
        <w:tc>
          <w:tcPr>
            <w:tcW w:w="7880" w:type="dxa"/>
          </w:tcPr>
          <w:p w14:paraId="41532311"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observa una escasa comprensión de lo que exige la pregunta. La respuesta tiene una estructura deficiente o, cuando hay una estructura de ensayo reconocible, apenas se centra en la tarea.</w:t>
            </w:r>
          </w:p>
          <w:p w14:paraId="2D750ABC"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demuestran escasos conocimientos sobre el tema de historia mundial.</w:t>
            </w:r>
          </w:p>
          <w:p w14:paraId="7E2993AD"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El alumno identifica ejemplos para analizar, pero estos se refieren a datos incorrectos, carecen de pertinencia o son poco concretos.</w:t>
            </w:r>
          </w:p>
          <w:p w14:paraId="1C135BB2"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no incluye un análisis crítico o, si lo incluye, este es escaso. Esta consiste principalmente en generalizaciones y afirmaciones insuficientemente fundamentadas.</w:t>
            </w:r>
          </w:p>
        </w:tc>
      </w:tr>
      <w:tr w:rsidR="00355A17" w14:paraId="1D49BBC9" w14:textId="77777777" w:rsidTr="00EF59B5">
        <w:tc>
          <w:tcPr>
            <w:tcW w:w="1098" w:type="dxa"/>
          </w:tcPr>
          <w:p w14:paraId="0CD334CD"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4-6</w:t>
            </w:r>
          </w:p>
        </w:tc>
        <w:tc>
          <w:tcPr>
            <w:tcW w:w="7880" w:type="dxa"/>
          </w:tcPr>
          <w:p w14:paraId="1D9D666E"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evidencia cierta comprensión de lo que exige la pregunta. Si bien se observa un intento de seguir una determinada estructura, la respuesta carece de claridad y coherencia.</w:t>
            </w:r>
          </w:p>
          <w:p w14:paraId="3A6F4827"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demuestran conocimientos sobre el tema de historia mundial, pero estos carecen de precisión y pertinencia. La comprensión del contexto histórico es superficial.</w:t>
            </w:r>
          </w:p>
          <w:p w14:paraId="5A2FD0DD"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El alumno identifica ejemplos concretos para analizar, pero estos son indefinidos o carecen de pertinencia.</w:t>
            </w:r>
          </w:p>
          <w:p w14:paraId="776CA02C"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incluye un análisis limitado, pero la respuesta no es analítica sino principalmente narrativa o descriptiva</w:t>
            </w:r>
          </w:p>
        </w:tc>
      </w:tr>
      <w:tr w:rsidR="00355A17" w14:paraId="3AE74F41" w14:textId="77777777" w:rsidTr="00EF59B5">
        <w:tc>
          <w:tcPr>
            <w:tcW w:w="1098" w:type="dxa"/>
          </w:tcPr>
          <w:p w14:paraId="30B5D4FA"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7-9</w:t>
            </w:r>
          </w:p>
        </w:tc>
        <w:tc>
          <w:tcPr>
            <w:tcW w:w="7880" w:type="dxa"/>
          </w:tcPr>
          <w:p w14:paraId="4AB8552F"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evidencia comprensión de lo que exige la pregunta, aunque estas exigencias se abordan solo parcialmente. Se intenta seguir un enfoque estructurado.</w:t>
            </w:r>
          </w:p>
          <w:p w14:paraId="1CA8C82A"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lastRenderedPageBreak/>
              <w:t>Los conocimientos demostrados sobre el tema de historia mundial son precisos y pertinentes en su mayor parte. Los acontecimientos generalmente se ubican en su contexto histórico.</w:t>
            </w:r>
          </w:p>
          <w:p w14:paraId="1213AFCE"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ejemplos que el alumno elige para analizar son adecuados y pertinentes. La respuesta establece vínculos y/o comparaciones (según corresponda a la pregunta).</w:t>
            </w:r>
          </w:p>
          <w:p w14:paraId="184C1C53"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no se limita a describir sino que incluye cierto análisis o comentario crítico, pero este no se fundamenta.</w:t>
            </w:r>
          </w:p>
        </w:tc>
      </w:tr>
      <w:tr w:rsidR="00355A17" w14:paraId="2059DE33" w14:textId="77777777" w:rsidTr="00EF59B5">
        <w:tc>
          <w:tcPr>
            <w:tcW w:w="1098" w:type="dxa"/>
          </w:tcPr>
          <w:p w14:paraId="56D845CE"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lastRenderedPageBreak/>
              <w:t>10-12</w:t>
            </w:r>
          </w:p>
        </w:tc>
        <w:tc>
          <w:tcPr>
            <w:tcW w:w="7880" w:type="dxa"/>
          </w:tcPr>
          <w:p w14:paraId="41FADDD5"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comprende y aborda lo que exige la pregunta. En general, la respuesta está bien estructurada y organizada, aunque hay cierto grado de repetición o falta de claridad en algunas partes.</w:t>
            </w:r>
          </w:p>
          <w:p w14:paraId="501D00BB"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conocimientos demostrados sobre el tema de historia mundial son precisos y pertinentes en su mayor parte. Los acontecimientos se ubican en su contexto histórico, y se observa cierta comprensión de los conceptos históricos.</w:t>
            </w:r>
          </w:p>
          <w:p w14:paraId="03B1E34C"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ejemplos que el alumno elige para analizar son adecuados y pertinentes, y se utilizan para respaldar el análisis o la evaluación. La respuesta establece vínculos y/o comparaciones eficaces (según corresponda a la pregunta).</w:t>
            </w:r>
          </w:p>
          <w:p w14:paraId="5A699A86"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incluye un análisis crítico, que en general es claro y coherente. Se observa cierta conciencia y evaluación de distintas perspectivas. La mayor parte de los puntos principales se fundamentan y la respuesta presenta un argumento que conduce a una conclusión coherente.</w:t>
            </w:r>
          </w:p>
        </w:tc>
      </w:tr>
      <w:tr w:rsidR="00355A17" w14:paraId="149BC073" w14:textId="77777777" w:rsidTr="00EF59B5">
        <w:tc>
          <w:tcPr>
            <w:tcW w:w="1098" w:type="dxa"/>
          </w:tcPr>
          <w:p w14:paraId="32AE0400"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13-15</w:t>
            </w:r>
          </w:p>
        </w:tc>
        <w:tc>
          <w:tcPr>
            <w:tcW w:w="7880" w:type="dxa"/>
          </w:tcPr>
          <w:p w14:paraId="58DC33B0"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se centra claramente en el tema, y demuestra un alto grado de conciencia de las exigencias e implicaciones de la pregunta. La respuesta está bien estructurada y se organiza de forma eficaz.</w:t>
            </w:r>
          </w:p>
          <w:p w14:paraId="12B7CFEA"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conocimientos demostrados sobre el tema de historia mundial son precisos y pertinentes. Los acontecimientos se ubican en su contexto histórico, y se observa una clara comprensión de los conceptos históricos.</w:t>
            </w:r>
          </w:p>
          <w:p w14:paraId="30B009D8"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 xml:space="preserve">Los ejemplos que el alumno elige para analizar son adecuados y pertinentes, y se utilizan de forma eficaz para respaldar el análisis o la evaluación. La respuesta establece vínculos y/o comparaciones eficaces (según corresponda a </w:t>
            </w:r>
            <w:r>
              <w:rPr>
                <w:rFonts w:ascii="Helvetica Neue" w:hAnsi="Helvetica Neue" w:cs="Helvetica Neue"/>
                <w:color w:val="262626"/>
                <w:sz w:val="28"/>
                <w:szCs w:val="28"/>
                <w:lang w:val="es-ES"/>
              </w:rPr>
              <w:lastRenderedPageBreak/>
              <w:t>la pregunta).</w:t>
            </w:r>
          </w:p>
          <w:p w14:paraId="6C766208"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incluye un análisis crítico claro y coherente. Se evalúan distintas perspectivas y esa evaluación está integrada de manera eficaz en la respuesta. Todos, o casi todos, los puntos principales se fundamentan y la respuesta presenta un argumento que conduce a una conclusión coherente.</w:t>
            </w:r>
          </w:p>
        </w:tc>
      </w:tr>
    </w:tbl>
    <w:p w14:paraId="3632B2DA" w14:textId="77777777" w:rsidR="00355A17" w:rsidRDefault="00355A17" w:rsidP="004C7551">
      <w:pPr>
        <w:widowControl w:val="0"/>
        <w:autoSpaceDE w:val="0"/>
        <w:autoSpaceDN w:val="0"/>
        <w:adjustRightInd w:val="0"/>
        <w:jc w:val="both"/>
        <w:rPr>
          <w:rFonts w:ascii="Helvetica Neue" w:hAnsi="Helvetica Neue" w:cs="Helvetica Neue"/>
          <w:color w:val="262626"/>
          <w:sz w:val="28"/>
          <w:szCs w:val="28"/>
          <w:lang w:val="es-ES"/>
        </w:rPr>
      </w:pPr>
    </w:p>
    <w:p w14:paraId="755692B1" w14:textId="77777777" w:rsidR="000834CD" w:rsidRDefault="000834CD" w:rsidP="004C7551">
      <w:pPr>
        <w:widowControl w:val="0"/>
        <w:autoSpaceDE w:val="0"/>
        <w:autoSpaceDN w:val="0"/>
        <w:adjustRightInd w:val="0"/>
        <w:jc w:val="both"/>
        <w:rPr>
          <w:rFonts w:ascii="Helvetica Neue" w:hAnsi="Helvetica Neue" w:cs="Helvetica Neue"/>
          <w:b/>
          <w:bCs/>
          <w:color w:val="262626"/>
          <w:sz w:val="36"/>
          <w:szCs w:val="36"/>
          <w:lang w:val="es-ES"/>
        </w:rPr>
      </w:pPr>
      <w:r>
        <w:rPr>
          <w:rFonts w:ascii="Helvetica Neue" w:hAnsi="Helvetica Neue" w:cs="Helvetica Neue"/>
          <w:b/>
          <w:bCs/>
          <w:color w:val="262626"/>
          <w:sz w:val="36"/>
          <w:szCs w:val="36"/>
          <w:lang w:val="es-ES"/>
        </w:rPr>
        <w:t>Prueba 3 (NS solamente)</w:t>
      </w:r>
    </w:p>
    <w:p w14:paraId="1546754F" w14:textId="77777777" w:rsidR="000834CD" w:rsidRDefault="000834CD" w:rsidP="004C7551">
      <w:pPr>
        <w:widowControl w:val="0"/>
        <w:autoSpaceDE w:val="0"/>
        <w:autoSpaceDN w:val="0"/>
        <w:adjustRightInd w:val="0"/>
        <w:jc w:val="both"/>
        <w:rPr>
          <w:rFonts w:ascii="Helvetica Neue" w:hAnsi="Helvetica Neue" w:cs="Helvetica Neue"/>
          <w:b/>
          <w:bCs/>
          <w:color w:val="757575"/>
          <w:sz w:val="28"/>
          <w:szCs w:val="28"/>
          <w:lang w:val="es-ES"/>
        </w:rPr>
      </w:pPr>
      <w:r>
        <w:rPr>
          <w:rFonts w:ascii="Helvetica Neue" w:hAnsi="Helvetica Neue" w:cs="Helvetica Neue"/>
          <w:b/>
          <w:bCs/>
          <w:color w:val="757575"/>
          <w:sz w:val="28"/>
          <w:szCs w:val="28"/>
          <w:lang w:val="es-ES"/>
        </w:rPr>
        <w:t>Duración: 2 horas 30 minutos</w:t>
      </w:r>
    </w:p>
    <w:p w14:paraId="4B0F057B" w14:textId="77777777" w:rsidR="000834CD" w:rsidRDefault="000834CD" w:rsidP="004C7551">
      <w:pPr>
        <w:widowControl w:val="0"/>
        <w:autoSpaceDE w:val="0"/>
        <w:autoSpaceDN w:val="0"/>
        <w:adjustRightInd w:val="0"/>
        <w:jc w:val="both"/>
        <w:rPr>
          <w:rFonts w:ascii="Helvetica Neue" w:hAnsi="Helvetica Neue" w:cs="Helvetica Neue"/>
          <w:b/>
          <w:bCs/>
          <w:color w:val="757575"/>
          <w:sz w:val="28"/>
          <w:szCs w:val="28"/>
          <w:lang w:val="es-ES"/>
        </w:rPr>
      </w:pPr>
      <w:r>
        <w:rPr>
          <w:rFonts w:ascii="Helvetica Neue" w:hAnsi="Helvetica Neue" w:cs="Helvetica Neue"/>
          <w:b/>
          <w:bCs/>
          <w:color w:val="757575"/>
          <w:sz w:val="28"/>
          <w:szCs w:val="28"/>
          <w:lang w:val="es-ES"/>
        </w:rPr>
        <w:t>Porcentaje con respecto al total de la evaluación: 35%</w:t>
      </w:r>
    </w:p>
    <w:p w14:paraId="1A5218DA"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A cada una de las cuatro opciones regionales del NS le corresponde una prueba de examen; los alumnos se matriculan para realizar una de esas pruebas.</w:t>
      </w:r>
    </w:p>
    <w:p w14:paraId="5A901C84"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 xml:space="preserve">La prueba 3, que corresponde a la opción regional, consta de 36 preguntas: 2 preguntas de desarrollo por cada una de las 18 secciones indicadas para la opción regional. Los alumnos deben responder </w:t>
      </w:r>
      <w:r>
        <w:rPr>
          <w:rFonts w:ascii="Helvetica Neue" w:hAnsi="Helvetica Neue" w:cs="Helvetica Neue"/>
          <w:b/>
          <w:bCs/>
          <w:color w:val="262626"/>
          <w:sz w:val="28"/>
          <w:szCs w:val="28"/>
          <w:lang w:val="es-ES"/>
        </w:rPr>
        <w:t>tres</w:t>
      </w:r>
      <w:r>
        <w:rPr>
          <w:rFonts w:ascii="Helvetica Neue" w:hAnsi="Helvetica Neue" w:cs="Helvetica Neue"/>
          <w:color w:val="262626"/>
          <w:sz w:val="28"/>
          <w:szCs w:val="28"/>
          <w:lang w:val="es-ES"/>
        </w:rPr>
        <w:t xml:space="preserve"> de esas preguntas. Las preguntas que se refieren a países, acontecimientos o personas concretos se limitan a aquellos mencionados en el programa de estudios.</w:t>
      </w:r>
    </w:p>
    <w:p w14:paraId="65A2CC11" w14:textId="77777777" w:rsidR="000834CD" w:rsidRDefault="000834CD" w:rsidP="004C7551">
      <w:pPr>
        <w:widowControl w:val="0"/>
        <w:autoSpaceDE w:val="0"/>
        <w:autoSpaceDN w:val="0"/>
        <w:adjustRightInd w:val="0"/>
        <w:jc w:val="both"/>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puntuación máxima para esta prueba es 45 puntos; la prueba se corrige utilizando bandas de calificación genéricas y un esquema de calificación específico.</w:t>
      </w:r>
    </w:p>
    <w:p w14:paraId="6DB87CC6" w14:textId="77777777" w:rsidR="000834CD" w:rsidRDefault="000834CD" w:rsidP="000834CD">
      <w:pPr>
        <w:widowControl w:val="0"/>
        <w:autoSpaceDE w:val="0"/>
        <w:autoSpaceDN w:val="0"/>
        <w:adjustRightInd w:val="0"/>
        <w:rPr>
          <w:rFonts w:ascii="Helvetica Neue" w:hAnsi="Helvetica Neue" w:cs="Helvetica Neue"/>
          <w:b/>
          <w:bCs/>
          <w:color w:val="262626"/>
          <w:sz w:val="28"/>
          <w:szCs w:val="28"/>
          <w:lang w:val="es-ES"/>
        </w:rPr>
      </w:pPr>
      <w:r>
        <w:rPr>
          <w:rFonts w:ascii="Helvetica Neue" w:hAnsi="Helvetica Neue" w:cs="Helvetica Neue"/>
          <w:b/>
          <w:bCs/>
          <w:color w:val="262626"/>
          <w:sz w:val="28"/>
          <w:szCs w:val="28"/>
          <w:lang w:val="es-ES"/>
        </w:rPr>
        <w:t>Bandas de calificación de evaluación externa: prueba 3 (NS)</w:t>
      </w:r>
    </w:p>
    <w:tbl>
      <w:tblPr>
        <w:tblStyle w:val="Tablaconcuadrcula"/>
        <w:tblW w:w="0" w:type="auto"/>
        <w:tblLook w:val="04A0" w:firstRow="1" w:lastRow="0" w:firstColumn="1" w:lastColumn="0" w:noHBand="0" w:noVBand="1"/>
      </w:tblPr>
      <w:tblGrid>
        <w:gridCol w:w="1098"/>
        <w:gridCol w:w="7880"/>
      </w:tblGrid>
      <w:tr w:rsidR="00EF59B5" w14:paraId="12A33A0C" w14:textId="77777777" w:rsidTr="00EF59B5">
        <w:tc>
          <w:tcPr>
            <w:tcW w:w="1098" w:type="dxa"/>
          </w:tcPr>
          <w:p w14:paraId="21F71FDF"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Puntos</w:t>
            </w:r>
          </w:p>
        </w:tc>
        <w:tc>
          <w:tcPr>
            <w:tcW w:w="7880" w:type="dxa"/>
          </w:tcPr>
          <w:p w14:paraId="208E6AC8"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Descriptor Nivel</w:t>
            </w:r>
          </w:p>
        </w:tc>
      </w:tr>
      <w:tr w:rsidR="00EF59B5" w14:paraId="59D38281" w14:textId="77777777" w:rsidTr="00EF59B5">
        <w:tc>
          <w:tcPr>
            <w:tcW w:w="1098" w:type="dxa"/>
          </w:tcPr>
          <w:p w14:paraId="1AF6AB77"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0</w:t>
            </w:r>
          </w:p>
        </w:tc>
        <w:tc>
          <w:tcPr>
            <w:tcW w:w="7880" w:type="dxa"/>
          </w:tcPr>
          <w:p w14:paraId="041CA430"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no alcanza ninguno de los niveles especificados por los descriptores que figuran a continuación</w:t>
            </w:r>
          </w:p>
        </w:tc>
      </w:tr>
      <w:tr w:rsidR="00EF59B5" w14:paraId="17AA0ADF" w14:textId="77777777" w:rsidTr="00EF59B5">
        <w:tc>
          <w:tcPr>
            <w:tcW w:w="1098" w:type="dxa"/>
          </w:tcPr>
          <w:p w14:paraId="22426A21"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1-3</w:t>
            </w:r>
          </w:p>
        </w:tc>
        <w:tc>
          <w:tcPr>
            <w:tcW w:w="7880" w:type="dxa"/>
          </w:tcPr>
          <w:p w14:paraId="68EE309A"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observa una escasa comprensión de lo que exige la pregunta. La respuesta tiene una estructura deficiente o, cuando hay una estructura de ensayo reconocible, apenas se centra en la tarea.</w:t>
            </w:r>
          </w:p>
          <w:p w14:paraId="14CB8221"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demuestran escasos conocimientos sobre el tema de historia mundial.</w:t>
            </w:r>
          </w:p>
          <w:p w14:paraId="5E4BDAF8"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El alumno identifica ejemplos para analizar, pero estos se refieren a datos incorrectos, carecen de pertinencia o son poco concretos.</w:t>
            </w:r>
          </w:p>
          <w:p w14:paraId="1F1C31AA"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 xml:space="preserve">La respuesta no incluye un análisis crítico o, si lo incluye, </w:t>
            </w:r>
            <w:r>
              <w:rPr>
                <w:rFonts w:ascii="Helvetica Neue" w:hAnsi="Helvetica Neue" w:cs="Helvetica Neue"/>
                <w:color w:val="262626"/>
                <w:sz w:val="28"/>
                <w:szCs w:val="28"/>
                <w:lang w:val="es-ES"/>
              </w:rPr>
              <w:lastRenderedPageBreak/>
              <w:t>este es escaso. Esta consiste principalmente en generalizaciones y afirmaciones insuficientemente fundamentadas.</w:t>
            </w:r>
          </w:p>
        </w:tc>
      </w:tr>
      <w:tr w:rsidR="00EF59B5" w14:paraId="27342A99" w14:textId="77777777" w:rsidTr="00EF59B5">
        <w:tc>
          <w:tcPr>
            <w:tcW w:w="1098" w:type="dxa"/>
          </w:tcPr>
          <w:p w14:paraId="716FC4C1"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lastRenderedPageBreak/>
              <w:t>4-6</w:t>
            </w:r>
          </w:p>
        </w:tc>
        <w:tc>
          <w:tcPr>
            <w:tcW w:w="7880" w:type="dxa"/>
          </w:tcPr>
          <w:p w14:paraId="67DC25B5"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evidencia cierta comprensión de lo que exige la pregunta. Si bien se observa un intento de seguir una determinada estructura, la respuesta carece de claridad y coherencia.</w:t>
            </w:r>
          </w:p>
          <w:p w14:paraId="039F8BDD"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demuestran conocimientos sobre el tema de historia mundial, pero estos carecen de precisión y pertinencia. La comprensión del contexto histórico es superficial.</w:t>
            </w:r>
          </w:p>
          <w:p w14:paraId="1AC56179"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El alumno identifica ejemplos concretos para analizar, pero estos son indefinidos o carecen de pertinencia.</w:t>
            </w:r>
          </w:p>
          <w:p w14:paraId="21391DAD"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incluye un análisis limitado, pero la respuesta no es analítica sino principalmente narrativa o descriptiva</w:t>
            </w:r>
          </w:p>
        </w:tc>
      </w:tr>
      <w:tr w:rsidR="00EF59B5" w14:paraId="29FE43FA" w14:textId="77777777" w:rsidTr="00EF59B5">
        <w:tc>
          <w:tcPr>
            <w:tcW w:w="1098" w:type="dxa"/>
          </w:tcPr>
          <w:p w14:paraId="175304A1"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7-9</w:t>
            </w:r>
          </w:p>
        </w:tc>
        <w:tc>
          <w:tcPr>
            <w:tcW w:w="7880" w:type="dxa"/>
          </w:tcPr>
          <w:p w14:paraId="66E54E2E"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evidencia comprensión de lo que exige la pregunta, aunque estas exigencias se abordan solo parcialmente. Se intenta seguir un enfoque estructurado.</w:t>
            </w:r>
          </w:p>
          <w:p w14:paraId="05F535AC"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conocimientos demostrados sobre el tema de historia mundial son precisos y pertinentes en su mayor parte. Los acontecimientos generalmente se ubican en su contexto histórico.</w:t>
            </w:r>
          </w:p>
          <w:p w14:paraId="2B18BDBC"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ejemplos que el alumno elige para analizar son adecuados y pertinentes. La respuesta establece vínculos y/o comparaciones (según corresponda a la pregunta).</w:t>
            </w:r>
          </w:p>
          <w:p w14:paraId="6F339C40"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no se limita a describir sino que incluye cierto análisis o comentario crítico, pero este no se fundamenta.</w:t>
            </w:r>
          </w:p>
        </w:tc>
      </w:tr>
      <w:tr w:rsidR="00EF59B5" w14:paraId="4617A58B" w14:textId="77777777" w:rsidTr="00EF59B5">
        <w:tc>
          <w:tcPr>
            <w:tcW w:w="1098" w:type="dxa"/>
          </w:tcPr>
          <w:p w14:paraId="1A82AA0F"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10-12</w:t>
            </w:r>
          </w:p>
        </w:tc>
        <w:tc>
          <w:tcPr>
            <w:tcW w:w="7880" w:type="dxa"/>
          </w:tcPr>
          <w:p w14:paraId="21C2CBEE"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Se comprende y aborda lo que exige la pregunta. En general, la respuesta está bien estructurada y organizada, aunque hay cierto grado de repetición o falta de claridad en algunas partes.</w:t>
            </w:r>
          </w:p>
          <w:p w14:paraId="49163211"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conocimientos demostrados sobre el tema de historia mundial son precisos y pertinentes en su mayor parte. Los acontecimientos se ubican en su contexto histórico, y se observa cierta comprensión de los conceptos históricos.</w:t>
            </w:r>
          </w:p>
          <w:p w14:paraId="738B9063"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ejemplos que el alumno elige para analizar son adecuados y pertinentes, y se utilizan para respaldar el análisis o la evaluación. La respuesta establece vínculos y/o comparaciones eficaces (según corresponda a la pregunta).</w:t>
            </w:r>
          </w:p>
          <w:p w14:paraId="4C2F1A7A"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lastRenderedPageBreak/>
              <w:t>La respuesta incluye un análisis crítico, que en general es claro y coherente. Se observa cierta conciencia y evaluación de distintas perspectivas. La mayor parte de los puntos principales se fundamentan y la respuesta presenta un argumento que conduce a una conclusión coherente.</w:t>
            </w:r>
          </w:p>
        </w:tc>
      </w:tr>
      <w:tr w:rsidR="00EF59B5" w14:paraId="5C9CF415" w14:textId="77777777" w:rsidTr="00EF59B5">
        <w:tc>
          <w:tcPr>
            <w:tcW w:w="1098" w:type="dxa"/>
          </w:tcPr>
          <w:p w14:paraId="14369C91"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lastRenderedPageBreak/>
              <w:t>13-15</w:t>
            </w:r>
          </w:p>
        </w:tc>
        <w:tc>
          <w:tcPr>
            <w:tcW w:w="7880" w:type="dxa"/>
          </w:tcPr>
          <w:p w14:paraId="0E211CB4"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se centra claramente en el tema, y demuestra un alto grado de conciencia de las exigencias e implicaciones de la pregunta. La respuesta está bien estructurada y se organiza de forma eficaz.</w:t>
            </w:r>
          </w:p>
          <w:p w14:paraId="2756D772"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conocimientos demostrados sobre el tema de historia mundial son precisos y pertinentes. Los acontecimientos se ubican en su contexto histórico, y se observa una clara comprensión de los conceptos históricos.</w:t>
            </w:r>
          </w:p>
          <w:p w14:paraId="4993F0C7"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Los ejemplos que el alumno elige para analizar son adecuados y pertinentes, y se utilizan de forma eficaz para respaldar el análisis o la evaluación. La respuesta establece vínculos y/o comparaciones eficaces (según corresponda a la pregunta).</w:t>
            </w:r>
          </w:p>
          <w:p w14:paraId="4B88DD41" w14:textId="77777777" w:rsidR="00EF59B5" w:rsidRDefault="00EF59B5" w:rsidP="00EF59B5">
            <w:pPr>
              <w:widowControl w:val="0"/>
              <w:autoSpaceDE w:val="0"/>
              <w:autoSpaceDN w:val="0"/>
              <w:adjustRightInd w:val="0"/>
              <w:rPr>
                <w:rFonts w:ascii="Helvetica Neue" w:hAnsi="Helvetica Neue" w:cs="Helvetica Neue"/>
                <w:color w:val="262626"/>
                <w:sz w:val="28"/>
                <w:szCs w:val="28"/>
                <w:lang w:val="es-ES"/>
              </w:rPr>
            </w:pPr>
            <w:r>
              <w:rPr>
                <w:rFonts w:ascii="Helvetica Neue" w:hAnsi="Helvetica Neue" w:cs="Helvetica Neue"/>
                <w:color w:val="262626"/>
                <w:sz w:val="28"/>
                <w:szCs w:val="28"/>
                <w:lang w:val="es-ES"/>
              </w:rPr>
              <w:t>La respuesta incluye un análisis crítico claro y coherente. Se evalúan distintas perspectivas y esa evaluación está integrada de manera eficaz en la respuesta. Todos, o casi todos, los puntos principales se fundamentan y la respuesta presenta un argumento que conduce a una conclusión coherente.</w:t>
            </w:r>
          </w:p>
        </w:tc>
      </w:tr>
    </w:tbl>
    <w:p w14:paraId="5997A3E6" w14:textId="77777777" w:rsidR="001D17B3" w:rsidRDefault="001D17B3"/>
    <w:sectPr w:rsidR="001D17B3" w:rsidSect="00903C4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altName w:val="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4CD"/>
    <w:rsid w:val="000834CD"/>
    <w:rsid w:val="000F0A70"/>
    <w:rsid w:val="001D17B3"/>
    <w:rsid w:val="00355A17"/>
    <w:rsid w:val="004C7551"/>
    <w:rsid w:val="00903C4A"/>
    <w:rsid w:val="00E16EEB"/>
    <w:rsid w:val="00EF59B5"/>
    <w:rsid w:val="00F20D9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026A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83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83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EB3B7-3956-BD43-95DD-2EA7D173B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2008</Words>
  <Characters>11045</Characters>
  <Application>Microsoft Macintosh Word</Application>
  <DocSecurity>0</DocSecurity>
  <Lines>92</Lines>
  <Paragraphs>26</Paragraphs>
  <ScaleCrop>false</ScaleCrop>
  <Company/>
  <LinksUpToDate>false</LinksUpToDate>
  <CharactersWithSpaces>13027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4</cp:revision>
  <dcterms:created xsi:type="dcterms:W3CDTF">2016-08-26T17:14:00Z</dcterms:created>
  <dcterms:modified xsi:type="dcterms:W3CDTF">2016-08-27T03:45:00Z</dcterms:modified>
</cp:coreProperties>
</file>